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B71C4" w14:textId="4AC93D26" w:rsidR="006C6CEF" w:rsidRDefault="006C6CEF" w:rsidP="006C6CEF">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R4-20000</w:t>
      </w:r>
      <w:r>
        <w:t>2</w:t>
      </w:r>
      <w:r w:rsidR="00B322A5">
        <w:t>1</w:t>
      </w:r>
    </w:p>
    <w:p w14:paraId="50DC9730" w14:textId="59883CAD" w:rsidR="00D309CC" w:rsidRPr="00FD166F" w:rsidRDefault="006C6CEF" w:rsidP="006C6CEF">
      <w:pPr>
        <w:pStyle w:val="CH"/>
        <w:tabs>
          <w:tab w:val="clear" w:pos="7920"/>
        </w:tabs>
        <w:rPr>
          <w:b w:val="0"/>
        </w:rPr>
      </w:pPr>
      <w:r>
        <w:t>Online</w:t>
      </w:r>
      <w:r w:rsidRPr="00B070F5">
        <w:t xml:space="preserve">, </w:t>
      </w:r>
      <w:r>
        <w:t>24 February – 6 March,</w:t>
      </w:r>
      <w:r w:rsidRPr="00B070F5">
        <w:t xml:space="preserve"> 20</w:t>
      </w:r>
      <w:r>
        <w:t>20</w:t>
      </w:r>
    </w:p>
    <w:p w14:paraId="39A0EE25" w14:textId="77777777" w:rsidR="00D309CC" w:rsidRDefault="00D309CC" w:rsidP="00D309CC">
      <w:pPr>
        <w:tabs>
          <w:tab w:val="left" w:pos="2160"/>
        </w:tabs>
        <w:rPr>
          <w:rFonts w:ascii="Arial" w:hAnsi="Arial" w:cs="Arial"/>
          <w:b/>
        </w:rPr>
      </w:pPr>
    </w:p>
    <w:p w14:paraId="6DDCE159" w14:textId="7231E43E" w:rsidR="00D309CC" w:rsidRPr="0008103A" w:rsidRDefault="00D309CC" w:rsidP="00D309CC">
      <w:pPr>
        <w:pStyle w:val="CH"/>
        <w:rPr>
          <w:b w:val="0"/>
        </w:rPr>
      </w:pPr>
      <w:r w:rsidRPr="0008103A">
        <w:t>Agenda item:</w:t>
      </w:r>
      <w:r>
        <w:tab/>
      </w:r>
      <w:r w:rsidR="00B322A5">
        <w:t>8.14.1</w:t>
      </w:r>
    </w:p>
    <w:p w14:paraId="4DBE005A" w14:textId="77777777" w:rsidR="00D309CC" w:rsidRPr="0008103A" w:rsidRDefault="00D309CC" w:rsidP="00D309CC">
      <w:pPr>
        <w:pStyle w:val="CH"/>
        <w:rPr>
          <w:b w:val="0"/>
        </w:rPr>
      </w:pPr>
      <w:r>
        <w:t>Source:</w:t>
      </w:r>
      <w:r>
        <w:tab/>
        <w:t>Apple Inc.</w:t>
      </w:r>
    </w:p>
    <w:p w14:paraId="0D2061A1" w14:textId="25B466D9" w:rsidR="00D309CC" w:rsidRDefault="00D309CC" w:rsidP="00D309CC">
      <w:pPr>
        <w:pStyle w:val="CH"/>
      </w:pPr>
      <w:r w:rsidRPr="0008103A">
        <w:t>Title:</w:t>
      </w:r>
      <w:r w:rsidRPr="0008103A">
        <w:tab/>
      </w:r>
      <w:r w:rsidR="00B322A5" w:rsidRPr="00B322A5">
        <w:t>Multi-band requirement framework for FR2 in Rel-16 and beyond</w:t>
      </w:r>
    </w:p>
    <w:p w14:paraId="052B1E0C" w14:textId="56F8F71B" w:rsidR="00104BC6" w:rsidRDefault="00104BC6" w:rsidP="00D309CC">
      <w:pPr>
        <w:pStyle w:val="CH"/>
      </w:pPr>
      <w:r>
        <w:t>WI/SI:</w:t>
      </w:r>
      <w:r>
        <w:tab/>
      </w:r>
      <w:r w:rsidR="00B322A5" w:rsidRPr="00B322A5">
        <w:t>NR_RF_FR2_req_enh</w:t>
      </w:r>
      <w:r w:rsidR="00CD651B" w:rsidRPr="00752075">
        <w:t>-Core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56D92C31" w:rsidR="00D309CC" w:rsidRDefault="00D309CC" w:rsidP="00D309CC">
      <w:pPr>
        <w:pStyle w:val="CH"/>
      </w:pPr>
      <w:r>
        <w:t>Document for:</w:t>
      </w:r>
      <w:r>
        <w:tab/>
      </w:r>
      <w:r w:rsidR="00B322A5">
        <w:t>Approval</w:t>
      </w:r>
    </w:p>
    <w:p w14:paraId="0207DB43" w14:textId="77777777" w:rsidR="00D46431" w:rsidRPr="0008103A" w:rsidRDefault="00D46431" w:rsidP="00D309CC">
      <w:pPr>
        <w:pStyle w:val="CH"/>
        <w:rPr>
          <w:b w:val="0"/>
        </w:rPr>
      </w:pPr>
    </w:p>
    <w:p w14:paraId="0273524A" w14:textId="5C691477" w:rsidR="008E7986" w:rsidRDefault="008E7986" w:rsidP="008E7986">
      <w:pPr>
        <w:pStyle w:val="Heading1"/>
      </w:pPr>
      <w:r>
        <w:t>1</w:t>
      </w:r>
      <w:r>
        <w:tab/>
      </w:r>
      <w:r w:rsidRPr="004D3578">
        <w:t>Introduction</w:t>
      </w:r>
      <w:r>
        <w:t xml:space="preserve"> </w:t>
      </w:r>
    </w:p>
    <w:p w14:paraId="464305CD" w14:textId="08D19126" w:rsidR="00244940" w:rsidRDefault="00462B29" w:rsidP="00244940">
      <w:pPr>
        <w:rPr>
          <w:lang w:val="en-GB"/>
        </w:rPr>
      </w:pPr>
      <w:r>
        <w:rPr>
          <w:lang w:val="en-GB"/>
        </w:rPr>
        <w:t xml:space="preserve">During the RAN4 #93 meeting a discussion was initiated on </w:t>
      </w:r>
      <w:r w:rsidR="006D601F">
        <w:rPr>
          <w:lang w:val="en-GB"/>
        </w:rPr>
        <w:t>how</w:t>
      </w:r>
      <w:r>
        <w:rPr>
          <w:lang w:val="en-GB"/>
        </w:rPr>
        <w:t xml:space="preserve"> the multi-band requ</w:t>
      </w:r>
      <w:r w:rsidR="006D601F">
        <w:rPr>
          <w:lang w:val="en-GB"/>
        </w:rPr>
        <w:t xml:space="preserve">irement (MBR) framework should be defined in Rel-16.  In addition, RAN5 has sent an LS to RAN4 with a testability analysis of the MBR framework in Rel-15, as follows </w:t>
      </w:r>
      <w:r w:rsidR="006D601F">
        <w:rPr>
          <w:lang w:val="en-GB"/>
        </w:rPr>
        <w:fldChar w:fldCharType="begin"/>
      </w:r>
      <w:r w:rsidR="006D601F">
        <w:rPr>
          <w:lang w:val="en-GB"/>
        </w:rPr>
        <w:instrText xml:space="preserve"> REF _Ref32278112 \r \h </w:instrText>
      </w:r>
      <w:r w:rsidR="006D601F">
        <w:rPr>
          <w:lang w:val="en-GB"/>
        </w:rPr>
      </w:r>
      <w:r w:rsidR="006D601F">
        <w:rPr>
          <w:lang w:val="en-GB"/>
        </w:rPr>
        <w:fldChar w:fldCharType="separate"/>
      </w:r>
      <w:r w:rsidR="00F270AF">
        <w:rPr>
          <w:lang w:val="en-GB"/>
        </w:rPr>
        <w:t>[1]</w:t>
      </w:r>
      <w:r w:rsidR="006D601F">
        <w:rPr>
          <w:lang w:val="en-GB"/>
        </w:rPr>
        <w:fldChar w:fldCharType="end"/>
      </w:r>
      <w:r w:rsidR="006D601F">
        <w:rPr>
          <w:lang w:val="en-GB"/>
        </w:rPr>
        <w:t>:</w:t>
      </w:r>
    </w:p>
    <w:p w14:paraId="37A675D7" w14:textId="4B454749" w:rsidR="006D601F" w:rsidRDefault="006D601F" w:rsidP="00244940">
      <w:pPr>
        <w:rPr>
          <w:lang w:val="en-GB"/>
        </w:rPr>
      </w:pPr>
    </w:p>
    <w:tbl>
      <w:tblPr>
        <w:tblStyle w:val="TableGrid"/>
        <w:tblW w:w="0" w:type="auto"/>
        <w:tblLook w:val="04A0" w:firstRow="1" w:lastRow="0" w:firstColumn="1" w:lastColumn="0" w:noHBand="0" w:noVBand="1"/>
      </w:tblPr>
      <w:tblGrid>
        <w:gridCol w:w="9631"/>
      </w:tblGrid>
      <w:tr w:rsidR="006D601F" w14:paraId="7CADE1F4" w14:textId="77777777" w:rsidTr="006D601F">
        <w:tc>
          <w:tcPr>
            <w:tcW w:w="9631" w:type="dxa"/>
          </w:tcPr>
          <w:p w14:paraId="35C236D7" w14:textId="77777777" w:rsidR="006D601F" w:rsidRPr="006D601F" w:rsidRDefault="006D601F" w:rsidP="006D601F">
            <w:pPr>
              <w:spacing w:after="120"/>
              <w:rPr>
                <w:rFonts w:ascii="Arial" w:hAnsi="Arial" w:cs="Arial"/>
              </w:rPr>
            </w:pPr>
            <w:r w:rsidRPr="006D601F">
              <w:rPr>
                <w:rFonts w:ascii="Arial" w:hAnsi="Arial" w:cs="Arial"/>
              </w:rPr>
              <w:t>1. Overall Description:</w:t>
            </w:r>
          </w:p>
          <w:p w14:paraId="76BEB0D7" w14:textId="77777777" w:rsidR="006D601F" w:rsidRPr="006D601F" w:rsidRDefault="006D601F" w:rsidP="006D601F">
            <w:pPr>
              <w:pStyle w:val="Header"/>
              <w:rPr>
                <w:rFonts w:cs="Arial"/>
                <w:b w:val="0"/>
              </w:rPr>
            </w:pPr>
            <w:r w:rsidRPr="006D601F">
              <w:rPr>
                <w:rFonts w:cs="Arial"/>
                <w:b w:val="0"/>
              </w:rPr>
              <w:t xml:space="preserve">In [R4-1902181] RAN4 sent an LS to RAN5 with a proposal on how to use the multi-band relaxation (MBR) for FR2 RF testing, suggesting that the UE vendor declares per band relaxation factors which should comply with the max allowed accumulated value over supported bands defined in TS 38.101-2, thereby allowing testing to be performed per band. This is in theory possible, but RAN5 are facing some practical problems that could not be anticipated by RAN4 in the LS. </w:t>
            </w:r>
          </w:p>
          <w:p w14:paraId="0C93270A" w14:textId="77777777" w:rsidR="006D601F" w:rsidRPr="006D601F" w:rsidRDefault="006D601F" w:rsidP="006D601F">
            <w:pPr>
              <w:pStyle w:val="Header"/>
              <w:rPr>
                <w:rFonts w:cs="Arial"/>
                <w:b w:val="0"/>
              </w:rPr>
            </w:pPr>
          </w:p>
          <w:p w14:paraId="044D52B9" w14:textId="77777777" w:rsidR="006D601F" w:rsidRPr="006D601F" w:rsidRDefault="006D601F" w:rsidP="006D601F">
            <w:pPr>
              <w:pStyle w:val="Header"/>
              <w:rPr>
                <w:rFonts w:cs="Arial"/>
                <w:b w:val="0"/>
              </w:rPr>
            </w:pPr>
            <w:r w:rsidRPr="006D601F">
              <w:rPr>
                <w:rFonts w:cs="Arial"/>
                <w:b w:val="0"/>
              </w:rPr>
              <w:t xml:space="preserve">RAN5 have since worked on implementing this in RAN5 specs, but the RAN5 implementation also have an impact on certification organizations GCF and PTCRB. GCF/PTCRB have put mechanisms in place that ensure that the UE declares multiband relaxation factors per band for all the supported bands not only the bands part of certification and have ensured that the declared values cannot change if certification is distributed over several labs or over time. </w:t>
            </w:r>
          </w:p>
          <w:p w14:paraId="256B3D81" w14:textId="77777777" w:rsidR="006D601F" w:rsidRPr="006D601F" w:rsidRDefault="006D601F" w:rsidP="006D601F">
            <w:pPr>
              <w:pStyle w:val="Header"/>
              <w:tabs>
                <w:tab w:val="left" w:pos="7020"/>
              </w:tabs>
              <w:rPr>
                <w:rFonts w:cs="Arial"/>
                <w:b w:val="0"/>
              </w:rPr>
            </w:pPr>
            <w:r w:rsidRPr="006D601F">
              <w:rPr>
                <w:rFonts w:cs="Arial"/>
                <w:b w:val="0"/>
              </w:rPr>
              <w:tab/>
            </w:r>
          </w:p>
          <w:p w14:paraId="1E233D7B" w14:textId="77777777" w:rsidR="006D601F" w:rsidRPr="006D601F" w:rsidRDefault="006D601F" w:rsidP="006D601F">
            <w:pPr>
              <w:pStyle w:val="Header"/>
              <w:rPr>
                <w:rFonts w:cs="Arial"/>
                <w:b w:val="0"/>
              </w:rPr>
            </w:pPr>
            <w:r w:rsidRPr="006D601F">
              <w:rPr>
                <w:rFonts w:cs="Arial"/>
                <w:b w:val="0"/>
              </w:rPr>
              <w:t>However, problems described below remain and cannot be solved by RAN5:</w:t>
            </w:r>
          </w:p>
          <w:p w14:paraId="48FA5354" w14:textId="77777777" w:rsidR="006D601F" w:rsidRPr="006D601F" w:rsidRDefault="006D601F" w:rsidP="006D601F">
            <w:pPr>
              <w:pStyle w:val="Header"/>
              <w:rPr>
                <w:rFonts w:cs="Arial"/>
                <w:b w:val="0"/>
              </w:rPr>
            </w:pPr>
          </w:p>
          <w:p w14:paraId="465B8778" w14:textId="77777777" w:rsidR="006D601F" w:rsidRPr="006D601F" w:rsidRDefault="006D601F" w:rsidP="006D601F">
            <w:pPr>
              <w:pStyle w:val="Header"/>
              <w:rPr>
                <w:rFonts w:cs="Arial"/>
                <w:b w:val="0"/>
                <w:u w:val="single"/>
              </w:rPr>
            </w:pPr>
            <w:r w:rsidRPr="006D601F">
              <w:rPr>
                <w:rFonts w:cs="Arial"/>
                <w:b w:val="0"/>
                <w:u w:val="single"/>
              </w:rPr>
              <w:t>Problem description 1 - Some bands may not be tested:</w:t>
            </w:r>
          </w:p>
          <w:p w14:paraId="4068EB26" w14:textId="77777777" w:rsidR="006D601F" w:rsidRPr="006D601F" w:rsidRDefault="006D601F" w:rsidP="006D601F">
            <w:pPr>
              <w:pStyle w:val="Header"/>
              <w:rPr>
                <w:rFonts w:cs="Arial"/>
                <w:b w:val="0"/>
              </w:rPr>
            </w:pPr>
            <w:r w:rsidRPr="006D601F">
              <w:rPr>
                <w:rFonts w:cs="Arial"/>
                <w:b w:val="0"/>
              </w:rPr>
              <w:t>Certification organizations cannot mandate testing in bands not part of certification at a given point in time. Reasons for not testing a UE supported band may be:</w:t>
            </w:r>
          </w:p>
          <w:p w14:paraId="1411E181" w14:textId="77777777" w:rsidR="006D601F" w:rsidRPr="006D601F" w:rsidRDefault="006D601F" w:rsidP="006D601F">
            <w:pPr>
              <w:pStyle w:val="Header"/>
              <w:widowControl/>
              <w:numPr>
                <w:ilvl w:val="0"/>
                <w:numId w:val="10"/>
              </w:numPr>
              <w:tabs>
                <w:tab w:val="center" w:pos="993"/>
                <w:tab w:val="right" w:pos="8306"/>
              </w:tabs>
              <w:overflowPunct/>
              <w:autoSpaceDE/>
              <w:autoSpaceDN/>
              <w:adjustRightInd/>
              <w:textAlignment w:val="auto"/>
              <w:rPr>
                <w:rFonts w:cs="Arial"/>
                <w:b w:val="0"/>
              </w:rPr>
            </w:pPr>
            <w:r w:rsidRPr="006D601F">
              <w:rPr>
                <w:rFonts w:cs="Arial"/>
                <w:b w:val="0"/>
              </w:rPr>
              <w:t>The band is not part of certification (e.g. certification organizations have chosen not to include the band)</w:t>
            </w:r>
          </w:p>
          <w:p w14:paraId="0D04DD65" w14:textId="77777777" w:rsidR="006D601F" w:rsidRPr="006D601F" w:rsidRDefault="006D601F" w:rsidP="006D601F">
            <w:pPr>
              <w:pStyle w:val="Header"/>
              <w:widowControl/>
              <w:numPr>
                <w:ilvl w:val="0"/>
                <w:numId w:val="10"/>
              </w:numPr>
              <w:tabs>
                <w:tab w:val="center" w:pos="993"/>
                <w:tab w:val="right" w:pos="8306"/>
              </w:tabs>
              <w:overflowPunct/>
              <w:autoSpaceDE/>
              <w:autoSpaceDN/>
              <w:adjustRightInd/>
              <w:textAlignment w:val="auto"/>
              <w:rPr>
                <w:rFonts w:cs="Arial"/>
                <w:b w:val="0"/>
              </w:rPr>
            </w:pPr>
            <w:r w:rsidRPr="006D601F">
              <w:rPr>
                <w:rFonts w:cs="Arial"/>
                <w:b w:val="0"/>
              </w:rPr>
              <w:t xml:space="preserve">No test equipment is yet available for the band (no test case validations). </w:t>
            </w:r>
          </w:p>
          <w:p w14:paraId="0EAE22C4" w14:textId="77777777" w:rsidR="006D601F" w:rsidRPr="006D601F" w:rsidRDefault="006D601F" w:rsidP="006D601F">
            <w:pPr>
              <w:pStyle w:val="Header"/>
              <w:ind w:left="720"/>
              <w:rPr>
                <w:rFonts w:cs="Arial"/>
                <w:b w:val="0"/>
              </w:rPr>
            </w:pPr>
          </w:p>
          <w:p w14:paraId="49788016" w14:textId="77777777" w:rsidR="006D601F" w:rsidRPr="006D601F" w:rsidRDefault="006D601F" w:rsidP="006D601F">
            <w:pPr>
              <w:pStyle w:val="Header"/>
              <w:rPr>
                <w:rFonts w:cs="Arial"/>
                <w:b w:val="0"/>
              </w:rPr>
            </w:pPr>
            <w:r w:rsidRPr="006D601F">
              <w:rPr>
                <w:rFonts w:cs="Arial"/>
                <w:b w:val="0"/>
              </w:rPr>
              <w:t xml:space="preserve">Although we have a framework in certification to document MBR values and track it across multiple labs, there is still a potential risk of misuse of the UE multi-band declaration [R5-199577]. The issue is that if not all the supported bands by the UE are tested, a situation that will be common as more bands are being defined in 3GPP, the UE could safely assign all the allowed multiband relaxation on the tested bands (setting MB=0 on untested bands) thereby allowing a non-compliant UE to pass certification. </w:t>
            </w:r>
          </w:p>
          <w:p w14:paraId="2ED69F64" w14:textId="77777777" w:rsidR="006D601F" w:rsidRPr="006D601F" w:rsidRDefault="006D601F" w:rsidP="006D601F">
            <w:pPr>
              <w:pStyle w:val="Header"/>
              <w:rPr>
                <w:rFonts w:cs="Arial"/>
                <w:b w:val="0"/>
              </w:rPr>
            </w:pPr>
          </w:p>
          <w:p w14:paraId="7AAD792B" w14:textId="77777777" w:rsidR="006D601F" w:rsidRPr="006D601F" w:rsidRDefault="006D601F" w:rsidP="006D601F">
            <w:pPr>
              <w:pStyle w:val="Header"/>
              <w:rPr>
                <w:rFonts w:cs="Arial"/>
                <w:b w:val="0"/>
              </w:rPr>
            </w:pPr>
            <w:r w:rsidRPr="006D601F">
              <w:rPr>
                <w:rFonts w:cs="Arial"/>
                <w:b w:val="0"/>
              </w:rPr>
              <w:t xml:space="preserve">It is RAN5 conclusion that RAN5 cannot fully ensure correct conformance test implementation of MBR. </w:t>
            </w:r>
          </w:p>
          <w:p w14:paraId="6C0E6F83" w14:textId="77777777" w:rsidR="006D601F" w:rsidRPr="006D601F" w:rsidRDefault="006D601F" w:rsidP="006D601F">
            <w:pPr>
              <w:pStyle w:val="Header"/>
              <w:rPr>
                <w:rFonts w:cs="Arial"/>
                <w:b w:val="0"/>
              </w:rPr>
            </w:pPr>
          </w:p>
          <w:p w14:paraId="00D8EF67" w14:textId="77777777" w:rsidR="006D601F" w:rsidRPr="006D601F" w:rsidRDefault="006D601F" w:rsidP="006D601F">
            <w:pPr>
              <w:pStyle w:val="Header"/>
              <w:rPr>
                <w:rFonts w:cs="Arial"/>
                <w:b w:val="0"/>
                <w:u w:val="single"/>
              </w:rPr>
            </w:pPr>
            <w:r w:rsidRPr="006D601F">
              <w:rPr>
                <w:rFonts w:cs="Arial"/>
                <w:b w:val="0"/>
                <w:u w:val="single"/>
              </w:rPr>
              <w:t>Problem description 2 - Impact on testability analysis if MBR increase:</w:t>
            </w:r>
          </w:p>
          <w:p w14:paraId="1D64EACF" w14:textId="77777777" w:rsidR="006D601F" w:rsidRPr="006D601F" w:rsidRDefault="006D601F" w:rsidP="006D601F">
            <w:pPr>
              <w:pStyle w:val="Header"/>
              <w:rPr>
                <w:rFonts w:cs="Arial"/>
                <w:b w:val="0"/>
              </w:rPr>
            </w:pPr>
            <w:r w:rsidRPr="006D601F">
              <w:rPr>
                <w:rFonts w:cs="Arial"/>
                <w:b w:val="0"/>
              </w:rPr>
              <w:t xml:space="preserve">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 </w:t>
            </w:r>
          </w:p>
          <w:p w14:paraId="4390B701" w14:textId="77777777" w:rsidR="006D601F" w:rsidRPr="006D601F" w:rsidRDefault="006D601F" w:rsidP="006D601F">
            <w:pPr>
              <w:pStyle w:val="Header"/>
              <w:rPr>
                <w:rFonts w:cs="Arial"/>
                <w:b w:val="0"/>
              </w:rPr>
            </w:pPr>
            <w:r w:rsidRPr="006D601F">
              <w:rPr>
                <w:rFonts w:cs="Arial"/>
                <w:b w:val="0"/>
              </w:rPr>
              <w:tab/>
            </w:r>
          </w:p>
          <w:p w14:paraId="21C9825C" w14:textId="77777777" w:rsidR="006D601F" w:rsidRPr="006D601F" w:rsidRDefault="006D601F" w:rsidP="006D601F">
            <w:pPr>
              <w:pStyle w:val="Header"/>
              <w:rPr>
                <w:rFonts w:cs="Arial"/>
                <w:b w:val="0"/>
              </w:rPr>
            </w:pPr>
          </w:p>
          <w:p w14:paraId="4A9ACF40" w14:textId="77777777" w:rsidR="006D601F" w:rsidRPr="006D601F" w:rsidRDefault="006D601F" w:rsidP="006D601F">
            <w:pPr>
              <w:spacing w:after="120"/>
              <w:rPr>
                <w:rFonts w:ascii="Arial" w:hAnsi="Arial" w:cs="Arial"/>
              </w:rPr>
            </w:pPr>
            <w:r w:rsidRPr="006D601F">
              <w:rPr>
                <w:rFonts w:ascii="Arial" w:hAnsi="Arial" w:cs="Arial"/>
              </w:rPr>
              <w:t>2. Actions:</w:t>
            </w:r>
          </w:p>
          <w:p w14:paraId="300D9D32" w14:textId="77777777" w:rsidR="006D601F" w:rsidRPr="006D601F" w:rsidRDefault="006D601F" w:rsidP="006D601F">
            <w:pPr>
              <w:spacing w:after="120"/>
              <w:ind w:left="1985" w:hanging="1985"/>
              <w:rPr>
                <w:rFonts w:ascii="Arial" w:hAnsi="Arial" w:cs="Arial"/>
              </w:rPr>
            </w:pPr>
            <w:r w:rsidRPr="006D601F">
              <w:rPr>
                <w:rFonts w:ascii="Arial" w:hAnsi="Arial" w:cs="Arial"/>
              </w:rPr>
              <w:t>To [RAN4] group.</w:t>
            </w:r>
          </w:p>
          <w:p w14:paraId="155463EE" w14:textId="77777777" w:rsidR="006D601F" w:rsidRPr="006D601F" w:rsidRDefault="006D601F" w:rsidP="006D601F">
            <w:pPr>
              <w:spacing w:after="120"/>
              <w:ind w:left="993" w:hanging="993"/>
              <w:rPr>
                <w:rFonts w:ascii="Arial" w:hAnsi="Arial" w:cs="Arial"/>
              </w:rPr>
            </w:pPr>
            <w:bookmarkStart w:id="1" w:name="_Hlk25342110"/>
            <w:r w:rsidRPr="006D601F">
              <w:rPr>
                <w:rFonts w:ascii="Arial" w:hAnsi="Arial" w:cs="Arial"/>
              </w:rPr>
              <w:t xml:space="preserve">ACTION: </w:t>
            </w:r>
            <w:r w:rsidRPr="006D601F">
              <w:rPr>
                <w:rFonts w:ascii="Arial" w:hAnsi="Arial" w:cs="Arial"/>
              </w:rPr>
              <w:tab/>
            </w:r>
          </w:p>
          <w:p w14:paraId="618A4FFD" w14:textId="77777777" w:rsidR="006D601F" w:rsidRPr="006D601F" w:rsidRDefault="006D601F" w:rsidP="006D601F">
            <w:pPr>
              <w:numPr>
                <w:ilvl w:val="0"/>
                <w:numId w:val="11"/>
              </w:numPr>
              <w:spacing w:after="120"/>
              <w:rPr>
                <w:rFonts w:ascii="Arial" w:hAnsi="Arial" w:cs="Arial"/>
                <w:noProof/>
                <w:sz w:val="18"/>
                <w:szCs w:val="20"/>
                <w:lang w:val="en-GB" w:eastAsia="ja-JP"/>
              </w:rPr>
            </w:pPr>
            <w:r w:rsidRPr="006D601F">
              <w:rPr>
                <w:rFonts w:ascii="Arial" w:hAnsi="Arial" w:cs="Arial"/>
                <w:noProof/>
                <w:sz w:val="18"/>
                <w:szCs w:val="20"/>
                <w:lang w:val="en-GB" w:eastAsia="ja-JP"/>
              </w:rPr>
              <w:t xml:space="preserve">RAN5 kindly asks RAN4 group to consider problem descriptions 1 and 2 above </w:t>
            </w:r>
          </w:p>
          <w:p w14:paraId="1D0C51E1" w14:textId="60D05358" w:rsidR="006D601F" w:rsidRPr="006D601F" w:rsidRDefault="006D601F" w:rsidP="00244940">
            <w:pPr>
              <w:numPr>
                <w:ilvl w:val="0"/>
                <w:numId w:val="11"/>
              </w:numPr>
              <w:spacing w:after="120"/>
              <w:rPr>
                <w:rFonts w:ascii="Arial" w:hAnsi="Arial" w:cs="Arial"/>
                <w:noProof/>
                <w:sz w:val="18"/>
                <w:szCs w:val="20"/>
                <w:lang w:val="en-GB" w:eastAsia="ja-JP"/>
              </w:rPr>
            </w:pPr>
            <w:r w:rsidRPr="006D601F">
              <w:rPr>
                <w:rFonts w:ascii="Arial" w:hAnsi="Arial" w:cs="Arial"/>
                <w:noProof/>
                <w:sz w:val="18"/>
                <w:szCs w:val="20"/>
                <w:lang w:val="en-GB" w:eastAsia="ja-JP"/>
              </w:rPr>
              <w:lastRenderedPageBreak/>
              <w:t xml:space="preserve">To consider defining an upper limit of MBR (either ΔMBP or ∑MBP) which will be of high value for RAN5 when defining measurement uncertainty or to consider MBR per band instead of summation across all bands.  </w:t>
            </w:r>
            <w:bookmarkEnd w:id="1"/>
          </w:p>
        </w:tc>
      </w:tr>
    </w:tbl>
    <w:p w14:paraId="3BCC99A1" w14:textId="331A4ACF" w:rsidR="006D601F" w:rsidRDefault="006D601F" w:rsidP="00244940">
      <w:pPr>
        <w:rPr>
          <w:lang w:val="en-GB"/>
        </w:rPr>
      </w:pPr>
    </w:p>
    <w:p w14:paraId="12B4BA00" w14:textId="2C1CEA97" w:rsidR="006D601F" w:rsidRDefault="006D601F" w:rsidP="00244940">
      <w:pPr>
        <w:rPr>
          <w:lang w:val="en-GB"/>
        </w:rPr>
      </w:pPr>
      <w:r>
        <w:rPr>
          <w:lang w:val="en-GB"/>
        </w:rPr>
        <w:t>This contribution reviews the background of the MBR framework and recommends a solution to the issues raised in the RAN5 LS.</w:t>
      </w:r>
    </w:p>
    <w:p w14:paraId="6CFF5CC9" w14:textId="6E75D7D7" w:rsidR="00244940" w:rsidRPr="00244940" w:rsidRDefault="00244940" w:rsidP="00244940">
      <w:pPr>
        <w:pStyle w:val="Heading1"/>
      </w:pPr>
      <w:r>
        <w:t>2</w:t>
      </w:r>
      <w:r>
        <w:tab/>
        <w:t xml:space="preserve">Discussion </w:t>
      </w:r>
    </w:p>
    <w:p w14:paraId="008F6023" w14:textId="7D28BF2C" w:rsidR="00A35167" w:rsidRDefault="009F6942" w:rsidP="008E7986">
      <w:r>
        <w:t xml:space="preserve">The FR2 RF specification defines the multi-band requirement framework as follows </w:t>
      </w:r>
      <w:r>
        <w:fldChar w:fldCharType="begin"/>
      </w:r>
      <w:r>
        <w:instrText xml:space="preserve"> REF _Ref20820375 \r \h </w:instrText>
      </w:r>
      <w:r>
        <w:fldChar w:fldCharType="separate"/>
      </w:r>
      <w:r w:rsidR="00F270AF">
        <w:t>[1]</w:t>
      </w:r>
      <w:r>
        <w:fldChar w:fldCharType="end"/>
      </w:r>
      <w:r>
        <w:t>:</w:t>
      </w:r>
    </w:p>
    <w:p w14:paraId="51AFAB1F" w14:textId="77777777" w:rsidR="00244940" w:rsidRDefault="00244940" w:rsidP="008E7986"/>
    <w:p w14:paraId="0670C48A" w14:textId="0A5DC6DB" w:rsidR="009F6942" w:rsidRDefault="009F6942" w:rsidP="008E7986">
      <w:r>
        <w:rPr>
          <w:noProof/>
        </w:rPr>
        <mc:AlternateContent>
          <mc:Choice Requires="wps">
            <w:drawing>
              <wp:inline distT="0" distB="0" distL="0" distR="0" wp14:anchorId="4AA26EFD" wp14:editId="21875D90">
                <wp:extent cx="1828800" cy="3048000"/>
                <wp:effectExtent l="0" t="0" r="18415" b="12700"/>
                <wp:docPr id="1" name="Text Box 1"/>
                <wp:cNvGraphicFramePr/>
                <a:graphic xmlns:a="http://schemas.openxmlformats.org/drawingml/2006/main">
                  <a:graphicData uri="http://schemas.microsoft.com/office/word/2010/wordprocessingShape">
                    <wps:wsp>
                      <wps:cNvSpPr txBox="1"/>
                      <wps:spPr>
                        <a:xfrm>
                          <a:off x="0" y="0"/>
                          <a:ext cx="1828800" cy="3048000"/>
                        </a:xfrm>
                        <a:prstGeom prst="rect">
                          <a:avLst/>
                        </a:prstGeom>
                        <a:noFill/>
                        <a:ln w="6350">
                          <a:solidFill>
                            <a:prstClr val="black"/>
                          </a:solidFill>
                        </a:ln>
                      </wps:spPr>
                      <wps:txb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A26EFD" id="_x0000_t202" coordsize="21600,21600" o:spt="202" path="m,l,21600r21600,l21600,xe">
                <v:stroke joinstyle="miter"/>
                <v:path gradientshapeok="t" o:connecttype="rect"/>
              </v:shapetype>
              <v:shape id="Text Box 1" o:spid="_x0000_s1026" type="#_x0000_t202" style="width:2in;height:24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" filled="f" strokeweight=".5pt">
                <v:textbo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v:textbox>
                <w10:anchorlock/>
              </v:shape>
            </w:pict>
          </mc:Fallback>
        </mc:AlternateContent>
      </w:r>
    </w:p>
    <w:p w14:paraId="7B2B3E75" w14:textId="77777777" w:rsidR="00244940" w:rsidRDefault="00244940" w:rsidP="008E7986"/>
    <w:p w14:paraId="7835BCED" w14:textId="05F6F1E5" w:rsidR="0019395F" w:rsidRDefault="0011763D" w:rsidP="0019395F">
      <w:r>
        <w:t xml:space="preserve">The definition of the multi-band framework in Rel-15 proceeded in two steps: collection of performance data comparing single band and multi-band performance, as documented in </w:t>
      </w:r>
      <w:r>
        <w:fldChar w:fldCharType="begin"/>
      </w:r>
      <w:r>
        <w:instrText xml:space="preserve"> REF _Ref23768708 \r \h </w:instrText>
      </w:r>
      <w:r>
        <w:fldChar w:fldCharType="separate"/>
      </w:r>
      <w:r w:rsidR="00F270AF">
        <w:t>[3]</w:t>
      </w:r>
      <w:r>
        <w:fldChar w:fldCharType="end"/>
      </w:r>
      <w:r>
        <w:t xml:space="preserve">, and the definition of </w:t>
      </w:r>
      <w:r w:rsidRPr="00446013">
        <w:t>∑MB</w:t>
      </w:r>
      <w:r w:rsidRPr="00446013">
        <w:rPr>
          <w:vertAlign w:val="subscript"/>
        </w:rPr>
        <w:t>P</w:t>
      </w:r>
      <w:r>
        <w:t xml:space="preserve">, </w:t>
      </w:r>
      <w:r w:rsidRPr="00446013">
        <w:t>ΔMB</w:t>
      </w:r>
      <w:r>
        <w:rPr>
          <w:vertAlign w:val="subscript"/>
        </w:rPr>
        <w:t>P,n</w:t>
      </w:r>
      <w:r>
        <w:t xml:space="preserve">, </w:t>
      </w:r>
      <w:r w:rsidRPr="00446013">
        <w:t>∑MB</w:t>
      </w:r>
      <w:r>
        <w:rPr>
          <w:vertAlign w:val="subscript"/>
        </w:rPr>
        <w:t>S</w:t>
      </w:r>
      <w:r>
        <w:t>,</w:t>
      </w:r>
      <w:r w:rsidRPr="00446013">
        <w:t xml:space="preserve"> ΔMB</w:t>
      </w:r>
      <w:r w:rsidRPr="00446013">
        <w:rPr>
          <w:vertAlign w:val="subscript"/>
        </w:rPr>
        <w:t>S</w:t>
      </w:r>
      <w:r>
        <w:rPr>
          <w:vertAlign w:val="subscript"/>
        </w:rPr>
        <w:t>,n</w:t>
      </w:r>
      <w:r>
        <w:t xml:space="preserve"> terms </w:t>
      </w:r>
      <w:r>
        <w:fldChar w:fldCharType="begin"/>
      </w:r>
      <w:r>
        <w:instrText xml:space="preserve"> REF _Ref23768853 \r \h </w:instrText>
      </w:r>
      <w:r>
        <w:fldChar w:fldCharType="separate"/>
      </w:r>
      <w:r w:rsidR="00F270AF">
        <w:t>[5]</w:t>
      </w:r>
      <w:r>
        <w:fldChar w:fldCharType="end"/>
      </w:r>
      <w:r w:rsidR="007A2935">
        <w:t xml:space="preserve"> (also provided as an excerpt below).</w:t>
      </w:r>
    </w:p>
    <w:p w14:paraId="03EAE08E" w14:textId="095EB60D" w:rsidR="0011763D" w:rsidRPr="007B247B" w:rsidRDefault="007B247B" w:rsidP="0019395F">
      <w:r>
        <w:rPr>
          <w:noProof/>
        </w:rPr>
        <w:lastRenderedPageBreak/>
        <mc:AlternateContent>
          <mc:Choice Requires="wps">
            <w:drawing>
              <wp:inline distT="0" distB="0" distL="0" distR="0" wp14:anchorId="117ABBCF" wp14:editId="5505C6B2">
                <wp:extent cx="1828800" cy="1828800"/>
                <wp:effectExtent l="0" t="0" r="18415" b="1778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7ABBCF"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v:textbox>
                <w10:anchorlock/>
              </v:shape>
            </w:pict>
          </mc:Fallback>
        </mc:AlternateContent>
      </w:r>
    </w:p>
    <w:p w14:paraId="2D759808" w14:textId="77777777" w:rsidR="00FA41D2" w:rsidRDefault="00FA41D2" w:rsidP="00044D7C"/>
    <w:p w14:paraId="4264AF1F" w14:textId="3D7F8D21" w:rsidR="007A2935" w:rsidRDefault="007A2935" w:rsidP="00044D7C">
      <w:r>
        <w:t xml:space="preserve">The </w:t>
      </w:r>
      <w:r w:rsidR="00FA41D2">
        <w:t xml:space="preserve">Rel-15 </w:t>
      </w:r>
      <w:r>
        <w:t>specification reflects the following general framework for defining the spherical coverage multi-band factors:</w:t>
      </w:r>
    </w:p>
    <w:p w14:paraId="25D6382E" w14:textId="77777777" w:rsidR="001B1F24" w:rsidRDefault="001B1F24" w:rsidP="00044D7C"/>
    <w:p w14:paraId="2D650D6A" w14:textId="5E268BB7" w:rsidR="007A2935" w:rsidRPr="001B1F24" w:rsidRDefault="007A2935" w:rsidP="00261491">
      <w:pPr>
        <w:pStyle w:val="B1"/>
      </w:pPr>
      <w:r w:rsidRPr="001B1F24">
        <w:t>-</w:t>
      </w:r>
      <w:r w:rsidRPr="001B1F24">
        <w:tab/>
        <w:t>∑MB</w:t>
      </w:r>
      <w:r w:rsidRPr="001B1F24">
        <w:rPr>
          <w:vertAlign w:val="subscript"/>
        </w:rPr>
        <w:t>S</w:t>
      </w:r>
      <w:r w:rsidRPr="001B1F24">
        <w:t xml:space="preserve"> = N*0.5 + 0.25 dB, where N corresponds to the total number of bands in the combination and excludes band n260 (N-1 in the case n260 is supported)</w:t>
      </w:r>
    </w:p>
    <w:p w14:paraId="07CAD129" w14:textId="417857C1" w:rsidR="007A2935" w:rsidRDefault="007A2935" w:rsidP="00261491">
      <w:pPr>
        <w:pStyle w:val="B1"/>
      </w:pPr>
      <w:r w:rsidRPr="001B1F24">
        <w:t>-</w:t>
      </w:r>
      <w:r w:rsidRPr="001B1F24">
        <w:tab/>
        <w:t>∑MB</w:t>
      </w:r>
      <w:r w:rsidR="0028110F" w:rsidRPr="001B1F24">
        <w:rPr>
          <w:vertAlign w:val="subscript"/>
        </w:rPr>
        <w:t>P</w:t>
      </w:r>
      <w:r w:rsidRPr="001B1F24">
        <w:t xml:space="preserve"> </w:t>
      </w:r>
      <w:r w:rsidR="0028110F" w:rsidRPr="001B1F24">
        <w:t xml:space="preserve">= N*0.5 + </w:t>
      </w:r>
      <w:r w:rsidR="00E84623" w:rsidRPr="001B1F24">
        <w:t>∆</w:t>
      </w:r>
      <w:r w:rsidR="00E84623" w:rsidRPr="001B1F24">
        <w:rPr>
          <w:vertAlign w:val="subscript"/>
        </w:rPr>
        <w:t>PS</w:t>
      </w:r>
      <w:r w:rsidR="00E84623" w:rsidRPr="001B1F24">
        <w:t>, where ∆</w:t>
      </w:r>
      <w:r w:rsidR="00E84623" w:rsidRPr="001B1F24">
        <w:rPr>
          <w:vertAlign w:val="subscript"/>
        </w:rPr>
        <w:t>PS</w:t>
      </w:r>
      <w:r w:rsidR="00E84623" w:rsidRPr="001B1F24">
        <w:t xml:space="preserve"> is the calculated difference between the average peak relaxation and the average spherical coverage relaxation from the summarized data in </w:t>
      </w:r>
      <w:r w:rsidRPr="001B1F24">
        <w:fldChar w:fldCharType="begin"/>
      </w:r>
      <w:r w:rsidRPr="001B1F24">
        <w:instrText xml:space="preserve"> REF _Ref23769506 \r \h </w:instrText>
      </w:r>
      <w:r w:rsidR="001B1F24">
        <w:instrText xml:space="preserve"> \* MERGEFORMAT </w:instrText>
      </w:r>
      <w:r w:rsidRPr="001B1F24">
        <w:fldChar w:fldCharType="separate"/>
      </w:r>
      <w:r w:rsidR="00F270AF">
        <w:t>[4]</w:t>
      </w:r>
      <w:r w:rsidRPr="001B1F24">
        <w:fldChar w:fldCharType="end"/>
      </w:r>
    </w:p>
    <w:p w14:paraId="7A6E594E" w14:textId="22F8D321" w:rsidR="00FA41D2" w:rsidRPr="001B1F24" w:rsidRDefault="00FA41D2" w:rsidP="00261491">
      <w:pPr>
        <w:pStyle w:val="B1"/>
      </w:pPr>
      <w:r>
        <w:t>-</w:t>
      </w:r>
      <w:r>
        <w:tab/>
        <w:t>The related notes identify exceptions to this rule</w:t>
      </w:r>
      <w:r w:rsidR="00CA76D3">
        <w:t xml:space="preserve"> for certain bands, and no multi-band relaxations are defined for the case of n257</w:t>
      </w:r>
      <w:r w:rsidR="00714EA5">
        <w:t xml:space="preserve"> +</w:t>
      </w:r>
      <w:r w:rsidR="00CA76D3">
        <w:t xml:space="preserve"> n261, since n261 is a subset of n257</w:t>
      </w:r>
      <w:r>
        <w:t xml:space="preserve"> </w:t>
      </w:r>
    </w:p>
    <w:p w14:paraId="3017BDC1" w14:textId="5C3D13CE" w:rsidR="00363EC4" w:rsidRDefault="00244940" w:rsidP="00044D7C">
      <w:r>
        <w:t xml:space="preserve">The eventual agreement </w:t>
      </w:r>
      <w:r w:rsidR="00261491">
        <w:t>on MBR was a compromise involving many companies which also included an agreement on the beam correspondence requirement in Rel-15.  Thus, proposals to revert jus the MBR portion of this agreement do not take the complete situation into account.</w:t>
      </w:r>
    </w:p>
    <w:p w14:paraId="2E2DBF72" w14:textId="4C95BEB1" w:rsidR="00261491" w:rsidRDefault="00261491" w:rsidP="00044D7C">
      <w:r>
        <w:lastRenderedPageBreak/>
        <w:t>Regarding the two specific testability issues which RAN5 has raised, our understanding is the following:</w:t>
      </w:r>
    </w:p>
    <w:p w14:paraId="27C175F4" w14:textId="405CC95F" w:rsidR="00261491" w:rsidRDefault="00261491" w:rsidP="00261491">
      <w:pPr>
        <w:pStyle w:val="B1"/>
      </w:pPr>
      <w:r w:rsidRPr="00261491">
        <w:t>-</w:t>
      </w:r>
      <w:r w:rsidRPr="00261491">
        <w:tab/>
        <w:t xml:space="preserve">Issues related to </w:t>
      </w:r>
      <w:r>
        <w:t xml:space="preserve">the </w:t>
      </w:r>
      <w:r w:rsidRPr="00261491">
        <w:t xml:space="preserve">potential misuse of </w:t>
      </w:r>
      <w:r>
        <w:t xml:space="preserve">UE </w:t>
      </w:r>
      <w:r w:rsidRPr="00261491">
        <w:t xml:space="preserve">capability declaration information at the time of device certification </w:t>
      </w:r>
      <w:r>
        <w:t>should be resolved by the certification issuing authority.  In our understanding, a UE declares is multi-band factors based on supported bands and not based on a subset of bands which are tested.  If, as the example shows, a UE supports a band with a multi-band factor of 0 and which is not tested in certification, then the pass/fail outcome for that band is not defined.  One approach can be to ensure that the certification authority supports all bands defined in the UE RF Core specification</w:t>
      </w:r>
      <w:r w:rsidR="00FD712F">
        <w:t>, so that pass/fail outcomes can be defined for all bands which the UE supports.</w:t>
      </w:r>
    </w:p>
    <w:p w14:paraId="42A61189" w14:textId="4E71E8D7" w:rsidR="00FD712F" w:rsidRPr="00261491" w:rsidRDefault="00FD712F" w:rsidP="00261491">
      <w:pPr>
        <w:pStyle w:val="B1"/>
      </w:pPr>
      <w:r>
        <w:t>-</w:t>
      </w:r>
      <w:r>
        <w:tab/>
        <w:t xml:space="preserve">Issue #2 raised in the RAN5 LS is a concern which we also share as we observe the introduction of Band n259 to the Rel-16 specification.  With further spectrum allocation anticipated for mmWave, even more FR2 bands may be defined in the specification.  </w:t>
      </w:r>
      <w:r w:rsidR="00F270AF">
        <w:t>One way to retain the spirit of the Rel-15 compromise and to address this concern is to introduce a maximum cap to the per-band relaxation factors.</w:t>
      </w:r>
    </w:p>
    <w:p w14:paraId="6854DE30" w14:textId="6CBFC759" w:rsidR="00244940" w:rsidRDefault="00244940" w:rsidP="00D27EF9">
      <w:pPr>
        <w:rPr>
          <w:lang w:val="en-GB"/>
        </w:rPr>
      </w:pPr>
    </w:p>
    <w:p w14:paraId="144FA1D6" w14:textId="6A7DED6C" w:rsidR="004F65EC" w:rsidRDefault="004F65EC" w:rsidP="00D27EF9">
      <w:pPr>
        <w:rPr>
          <w:lang w:val="en-GB"/>
        </w:rPr>
      </w:pPr>
      <w:r>
        <w:rPr>
          <w:lang w:val="en-GB"/>
        </w:rPr>
        <w:t xml:space="preserve">Based on the above observations, the practical steps which RAN4 can take to address the concerns raised in the RAN5 LS </w:t>
      </w:r>
      <w:r>
        <w:rPr>
          <w:lang w:val="en-GB"/>
        </w:rPr>
        <w:fldChar w:fldCharType="begin"/>
      </w:r>
      <w:r>
        <w:rPr>
          <w:lang w:val="en-GB"/>
        </w:rPr>
        <w:instrText xml:space="preserve"> REF _Ref32278112 \r \h </w:instrText>
      </w:r>
      <w:r>
        <w:rPr>
          <w:lang w:val="en-GB"/>
        </w:rPr>
      </w:r>
      <w:r>
        <w:rPr>
          <w:lang w:val="en-GB"/>
        </w:rPr>
        <w:fldChar w:fldCharType="separate"/>
      </w:r>
      <w:r>
        <w:rPr>
          <w:lang w:val="en-GB"/>
        </w:rPr>
        <w:t>[1]</w:t>
      </w:r>
      <w:r>
        <w:rPr>
          <w:lang w:val="en-GB"/>
        </w:rPr>
        <w:fldChar w:fldCharType="end"/>
      </w:r>
      <w:r>
        <w:rPr>
          <w:lang w:val="en-GB"/>
        </w:rPr>
        <w:t xml:space="preserve"> can be summarized with the following proposals:</w:t>
      </w:r>
    </w:p>
    <w:p w14:paraId="3FD69F90" w14:textId="77777777" w:rsidR="004F65EC" w:rsidRPr="00F270AF" w:rsidRDefault="004F65EC" w:rsidP="00D27EF9">
      <w:pPr>
        <w:rPr>
          <w:lang w:val="en-GB"/>
        </w:rPr>
      </w:pPr>
    </w:p>
    <w:p w14:paraId="01BED9FE" w14:textId="02FE663D" w:rsidR="00F145F8" w:rsidRDefault="00762811" w:rsidP="00F270AF">
      <w:pPr>
        <w:pStyle w:val="Proposal"/>
      </w:pPr>
      <w:bookmarkStart w:id="2" w:name="_Toc20816915"/>
      <w:bookmarkStart w:id="3" w:name="_Toc20817384"/>
      <w:bookmarkStart w:id="4" w:name="_Toc20818480"/>
      <w:bookmarkStart w:id="5" w:name="_Toc20818486"/>
      <w:bookmarkStart w:id="6" w:name="_Toc20818517"/>
      <w:bookmarkStart w:id="7" w:name="_Toc20818541"/>
      <w:bookmarkStart w:id="8" w:name="_Toc20818551"/>
      <w:bookmarkStart w:id="9" w:name="_Toc20818595"/>
      <w:bookmarkStart w:id="10" w:name="_Toc20818633"/>
      <w:bookmarkStart w:id="11" w:name="_Toc20871522"/>
      <w:bookmarkStart w:id="12" w:name="_Toc23750738"/>
      <w:bookmarkStart w:id="13" w:name="_Toc23751359"/>
      <w:bookmarkStart w:id="14" w:name="_Toc23753257"/>
      <w:bookmarkStart w:id="15" w:name="_Toc23753888"/>
      <w:bookmarkStart w:id="16" w:name="_Toc23768470"/>
      <w:bookmarkStart w:id="17" w:name="_Toc23773676"/>
      <w:bookmarkStart w:id="18" w:name="_Toc23773711"/>
      <w:bookmarkStart w:id="19" w:name="_Toc23773716"/>
      <w:bookmarkStart w:id="20" w:name="_Toc32277753"/>
      <w:bookmarkStart w:id="21" w:name="_Toc32277867"/>
      <w:bookmarkStart w:id="22" w:name="_Toc32278405"/>
      <w:bookmarkStart w:id="23" w:name="_Toc32278487"/>
      <w:bookmarkStart w:id="24" w:name="_Toc32279003"/>
      <w:bookmarkStart w:id="25" w:name="_Toc32279250"/>
      <w:bookmarkStart w:id="26" w:name="_Toc32325244"/>
      <w:r>
        <w:t xml:space="preserve">Proposal </w:t>
      </w:r>
      <w:r w:rsidR="0035296E">
        <w:t>1</w:t>
      </w:r>
      <w:r>
        <w:t>:</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DF4EB8">
        <w:t>RAN4 shall i</w:t>
      </w:r>
      <w:r w:rsidR="00244940">
        <w:t>ntroduce a maximum cap to the per-band relaxation factors, such that ∆MB</w:t>
      </w:r>
      <w:r w:rsidR="00244940" w:rsidRPr="00816517">
        <w:rPr>
          <w:vertAlign w:val="subscript"/>
        </w:rPr>
        <w:t>P,n</w:t>
      </w:r>
      <w:r w:rsidR="00244940">
        <w:t xml:space="preserve"> ≤ 0.</w:t>
      </w:r>
      <w:r w:rsidR="00EE7CDF">
        <w:t>7</w:t>
      </w:r>
      <w:r w:rsidR="00244940">
        <w:t>5 dB and ∆MB</w:t>
      </w:r>
      <w:r w:rsidR="00244940" w:rsidRPr="00816517">
        <w:rPr>
          <w:vertAlign w:val="subscript"/>
        </w:rPr>
        <w:t>S,n</w:t>
      </w:r>
      <w:r w:rsidR="00244940">
        <w:t xml:space="preserve"> ≤ 0.</w:t>
      </w:r>
      <w:r w:rsidR="00EE7CDF">
        <w:t>7</w:t>
      </w:r>
      <w:r w:rsidR="00244940">
        <w:t>5 dB</w:t>
      </w:r>
      <w:r w:rsidR="00CA76D3">
        <w:t>.</w:t>
      </w:r>
      <w:bookmarkEnd w:id="17"/>
      <w:bookmarkEnd w:id="18"/>
      <w:bookmarkEnd w:id="19"/>
      <w:bookmarkEnd w:id="20"/>
      <w:bookmarkEnd w:id="21"/>
      <w:bookmarkEnd w:id="22"/>
      <w:bookmarkEnd w:id="23"/>
      <w:bookmarkEnd w:id="24"/>
      <w:bookmarkEnd w:id="25"/>
      <w:bookmarkEnd w:id="26"/>
    </w:p>
    <w:p w14:paraId="5F6D61FF" w14:textId="3A391214" w:rsidR="00F145F8" w:rsidRDefault="00F145F8" w:rsidP="00F145F8">
      <w:pPr>
        <w:pStyle w:val="Proposal"/>
      </w:pPr>
      <w:bookmarkStart w:id="27" w:name="_Toc32278406"/>
      <w:bookmarkStart w:id="28" w:name="_Toc32278488"/>
      <w:bookmarkStart w:id="29" w:name="_Toc32279004"/>
      <w:bookmarkStart w:id="30" w:name="_Toc32279251"/>
      <w:bookmarkStart w:id="31" w:name="_Toc32325245"/>
      <w:r>
        <w:t>Proposal 2:</w:t>
      </w:r>
      <w:r>
        <w:tab/>
        <w:t xml:space="preserve">RAN4 </w:t>
      </w:r>
      <w:r w:rsidR="005D113A">
        <w:t>shall</w:t>
      </w:r>
      <w:r>
        <w:t xml:space="preserve"> introduce the changes to MBR </w:t>
      </w:r>
      <w:r w:rsidR="00816517">
        <w:t>in</w:t>
      </w:r>
      <w:r>
        <w:t xml:space="preserve"> the Rel-15 specification.</w:t>
      </w:r>
      <w:bookmarkEnd w:id="27"/>
      <w:bookmarkEnd w:id="28"/>
      <w:bookmarkEnd w:id="29"/>
      <w:bookmarkEnd w:id="30"/>
      <w:bookmarkEnd w:id="31"/>
    </w:p>
    <w:p w14:paraId="47E8287E" w14:textId="53BB14AD" w:rsidR="00F145F8" w:rsidRPr="00F270AF" w:rsidRDefault="00F270AF" w:rsidP="00F270AF">
      <w:pPr>
        <w:pStyle w:val="TOC1"/>
        <w:ind w:left="0" w:firstLine="0"/>
        <w:rPr>
          <w:rFonts w:asciiTheme="minorHAnsi" w:eastAsiaTheme="minorEastAsia" w:hAnsiTheme="minorHAnsi" w:cstheme="minorBidi"/>
          <w:b w:val="0"/>
          <w:bCs w:val="0"/>
          <w:noProof/>
          <w:sz w:val="24"/>
          <w:szCs w:val="24"/>
          <w:lang w:val="de-DE"/>
        </w:rPr>
      </w:pPr>
      <w:r>
        <w:rPr>
          <w:b w:val="0"/>
          <w:bCs w:val="0"/>
        </w:rPr>
        <w:t xml:space="preserve">A draft response LS to RAN5 captures the above proposals in </w:t>
      </w:r>
      <w:r>
        <w:rPr>
          <w:b w:val="0"/>
          <w:bCs w:val="0"/>
        </w:rPr>
        <w:fldChar w:fldCharType="begin"/>
      </w:r>
      <w:r>
        <w:rPr>
          <w:b w:val="0"/>
          <w:bCs w:val="0"/>
        </w:rPr>
        <w:instrText xml:space="preserve"> REF _Ref32325235 \r \h </w:instrText>
      </w:r>
      <w:r>
        <w:rPr>
          <w:b w:val="0"/>
          <w:bCs w:val="0"/>
        </w:rPr>
      </w:r>
      <w:r>
        <w:rPr>
          <w:b w:val="0"/>
          <w:bCs w:val="0"/>
        </w:rPr>
        <w:fldChar w:fldCharType="separate"/>
      </w:r>
      <w:r>
        <w:rPr>
          <w:b w:val="0"/>
          <w:bCs w:val="0"/>
        </w:rPr>
        <w:t>[6]</w:t>
      </w:r>
      <w:r>
        <w:rPr>
          <w:b w:val="0"/>
          <w:bCs w:val="0"/>
        </w:rPr>
        <w:fldChar w:fldCharType="end"/>
      </w:r>
      <w:r>
        <w:rPr>
          <w:b w:val="0"/>
          <w:bCs w:val="0"/>
        </w:rPr>
        <w:t>.</w:t>
      </w:r>
    </w:p>
    <w:p w14:paraId="34C99636" w14:textId="77777777" w:rsidR="008E7986" w:rsidRDefault="008E7986" w:rsidP="008E7986">
      <w:pPr>
        <w:pStyle w:val="Heading1"/>
      </w:pPr>
      <w:r>
        <w:t>3</w:t>
      </w:r>
      <w:r>
        <w:tab/>
        <w:t>Conclusions</w:t>
      </w:r>
    </w:p>
    <w:p w14:paraId="022AC6BB" w14:textId="7C65A9CA" w:rsidR="00CA76D3" w:rsidRDefault="0035296E" w:rsidP="00CA76D3">
      <w:r>
        <w:t xml:space="preserve">This contribution has </w:t>
      </w:r>
      <w:r w:rsidR="00244940">
        <w:t xml:space="preserve">reviewed the </w:t>
      </w:r>
      <w:r w:rsidR="00BF3168">
        <w:t xml:space="preserve">issues related to the multi-band </w:t>
      </w:r>
      <w:r w:rsidR="00462B29">
        <w:t>requirement</w:t>
      </w:r>
      <w:r w:rsidR="00BF3168">
        <w:t xml:space="preserve"> framework in Rel-16 and beyond</w:t>
      </w:r>
      <w:r w:rsidR="00C36C3C">
        <w:t xml:space="preserve"> and made the following proposal</w:t>
      </w:r>
      <w:r w:rsidR="00A61086">
        <w:t>:</w:t>
      </w:r>
    </w:p>
    <w:p w14:paraId="128C9969" w14:textId="77777777" w:rsidR="00CA76D3" w:rsidRDefault="00CA76D3" w:rsidP="00CA76D3"/>
    <w:p w14:paraId="5965E344" w14:textId="77777777" w:rsidR="00F270AF"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F270AF">
        <w:rPr>
          <w:noProof/>
        </w:rPr>
        <w:t>Proposal 1:</w:t>
      </w:r>
      <w:r w:rsidR="00F270AF">
        <w:rPr>
          <w:rFonts w:asciiTheme="minorHAnsi" w:eastAsiaTheme="minorEastAsia" w:hAnsiTheme="minorHAnsi" w:cstheme="minorBidi"/>
          <w:b w:val="0"/>
          <w:bCs w:val="0"/>
          <w:noProof/>
          <w:sz w:val="24"/>
          <w:szCs w:val="24"/>
          <w:lang w:val="en-US"/>
        </w:rPr>
        <w:tab/>
      </w:r>
      <w:r w:rsidR="00F270AF">
        <w:rPr>
          <w:noProof/>
        </w:rPr>
        <w:t>RAN4 shall introduce a maximum cap to the per-band relaxation factors, such that ∆MB</w:t>
      </w:r>
      <w:r w:rsidR="00F270AF" w:rsidRPr="00A865F5">
        <w:rPr>
          <w:noProof/>
          <w:vertAlign w:val="subscript"/>
        </w:rPr>
        <w:t>P,n</w:t>
      </w:r>
      <w:r w:rsidR="00F270AF">
        <w:rPr>
          <w:noProof/>
        </w:rPr>
        <w:t xml:space="preserve"> ≤ 0.75 dB and ∆MB</w:t>
      </w:r>
      <w:r w:rsidR="00F270AF" w:rsidRPr="00A865F5">
        <w:rPr>
          <w:noProof/>
          <w:vertAlign w:val="subscript"/>
        </w:rPr>
        <w:t>S,n</w:t>
      </w:r>
      <w:r w:rsidR="00F270AF">
        <w:rPr>
          <w:noProof/>
        </w:rPr>
        <w:t xml:space="preserve"> ≤ 0.75 dB.</w:t>
      </w:r>
    </w:p>
    <w:p w14:paraId="34CC94A6" w14:textId="77777777" w:rsidR="00F270AF" w:rsidRDefault="00F270AF">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RAN4 shall introduce the changes to MBR in the Rel-15 specification.</w:t>
      </w:r>
    </w:p>
    <w:p w14:paraId="05CC6F0A" w14:textId="7BE25C20"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r w:rsidR="00F270AF">
        <w:rPr>
          <w:b w:val="0"/>
          <w:bCs w:val="0"/>
        </w:rPr>
        <w:t xml:space="preserve">A draft response LS to RAN5 captures the above proposals in </w:t>
      </w:r>
      <w:r w:rsidR="00F270AF">
        <w:rPr>
          <w:b w:val="0"/>
          <w:bCs w:val="0"/>
        </w:rPr>
        <w:fldChar w:fldCharType="begin"/>
      </w:r>
      <w:r w:rsidR="00F270AF">
        <w:rPr>
          <w:b w:val="0"/>
          <w:bCs w:val="0"/>
        </w:rPr>
        <w:instrText xml:space="preserve"> REF _Ref32325235 \r \h </w:instrText>
      </w:r>
      <w:r w:rsidR="00F270AF">
        <w:rPr>
          <w:b w:val="0"/>
          <w:bCs w:val="0"/>
        </w:rPr>
      </w:r>
      <w:r w:rsidR="00F270AF">
        <w:rPr>
          <w:b w:val="0"/>
          <w:bCs w:val="0"/>
        </w:rPr>
        <w:fldChar w:fldCharType="separate"/>
      </w:r>
      <w:r w:rsidR="00F270AF">
        <w:rPr>
          <w:b w:val="0"/>
          <w:bCs w:val="0"/>
        </w:rPr>
        <w:t>[6]</w:t>
      </w:r>
      <w:r w:rsidR="00F270AF">
        <w:rPr>
          <w:b w:val="0"/>
          <w:bCs w:val="0"/>
        </w:rPr>
        <w:fldChar w:fldCharType="end"/>
      </w:r>
      <w:r w:rsidR="00F270AF">
        <w:rPr>
          <w:b w:val="0"/>
          <w:bCs w:val="0"/>
        </w:rPr>
        <w:t>.</w:t>
      </w:r>
    </w:p>
    <w:p w14:paraId="5D2DDC34" w14:textId="77777777" w:rsidR="005E69AE" w:rsidRDefault="005E69AE" w:rsidP="005E69AE">
      <w:pPr>
        <w:pStyle w:val="Heading1"/>
      </w:pPr>
      <w:r>
        <w:t>4</w:t>
      </w:r>
      <w:r>
        <w:tab/>
        <w:t>References</w:t>
      </w:r>
    </w:p>
    <w:p w14:paraId="0E126650" w14:textId="64504459" w:rsidR="00B83A1B" w:rsidRDefault="00B83A1B" w:rsidP="00A35167">
      <w:pPr>
        <w:pStyle w:val="EX"/>
        <w:numPr>
          <w:ilvl w:val="0"/>
          <w:numId w:val="5"/>
        </w:numPr>
      </w:pPr>
      <w:bookmarkStart w:id="32" w:name="_Ref32278112"/>
      <w:bookmarkStart w:id="33" w:name="_Ref20820375"/>
      <w:bookmarkStart w:id="34" w:name="_Ref20817988"/>
      <w:r w:rsidRPr="00B83A1B">
        <w:t>R5-199424</w:t>
      </w:r>
      <w:r>
        <w:t>, “</w:t>
      </w:r>
      <w:r w:rsidRPr="00B83A1B">
        <w:t>LS on Multiband relaxation for FR2</w:t>
      </w:r>
      <w:r>
        <w:t>,” 3GPP RAN5 #85, November 2019</w:t>
      </w:r>
      <w:bookmarkEnd w:id="32"/>
    </w:p>
    <w:p w14:paraId="09237300" w14:textId="489B6F87" w:rsidR="00A35167" w:rsidRDefault="00A35167" w:rsidP="00A35167">
      <w:pPr>
        <w:pStyle w:val="EX"/>
        <w:numPr>
          <w:ilvl w:val="0"/>
          <w:numId w:val="5"/>
        </w:numPr>
      </w:pPr>
      <w:r>
        <w:t>3GPP TS38.101-2, “</w:t>
      </w:r>
      <w:r w:rsidRPr="002202CE">
        <w:t>User Equipment (UE) radio transmission and reception; Part 2: Range 2 Standalone</w:t>
      </w:r>
      <w:r>
        <w:t>”</w:t>
      </w:r>
      <w:bookmarkEnd w:id="33"/>
    </w:p>
    <w:p w14:paraId="04B08285" w14:textId="05CC4944" w:rsidR="00B57BD6" w:rsidRDefault="00B57BD6" w:rsidP="00B57BD6">
      <w:pPr>
        <w:pStyle w:val="EX"/>
        <w:numPr>
          <w:ilvl w:val="0"/>
          <w:numId w:val="5"/>
        </w:numPr>
      </w:pPr>
      <w:bookmarkStart w:id="35" w:name="_Ref23768708"/>
      <w:r w:rsidRPr="00CD651B">
        <w:t>R4-1908011</w:t>
      </w:r>
      <w:r>
        <w:t>, “</w:t>
      </w:r>
      <w:r w:rsidRPr="00CD651B">
        <w:t>Multi-band requirement framework for Band n259</w:t>
      </w:r>
      <w:r>
        <w:t>,” Apple Inc., 3GPP RAN4 #92, August 2019</w:t>
      </w:r>
      <w:bookmarkEnd w:id="34"/>
      <w:bookmarkEnd w:id="35"/>
    </w:p>
    <w:p w14:paraId="43FE6FCF" w14:textId="2989DACE" w:rsidR="006973C9" w:rsidRDefault="006973C9" w:rsidP="00CD651B">
      <w:pPr>
        <w:pStyle w:val="EX"/>
        <w:numPr>
          <w:ilvl w:val="0"/>
          <w:numId w:val="5"/>
        </w:numPr>
      </w:pPr>
      <w:bookmarkStart w:id="36" w:name="_Ref23769506"/>
      <w:r w:rsidRPr="006973C9">
        <w:t>R4-1816216</w:t>
      </w:r>
      <w:r>
        <w:t>, “</w:t>
      </w:r>
      <w:r w:rsidRPr="006973C9">
        <w:t>FR2 multi-band support adhoc minutes</w:t>
      </w:r>
      <w:r>
        <w:t>,” Apple Inc., 3GPP RAN4 #89</w:t>
      </w:r>
      <w:r w:rsidR="00A35167">
        <w:t>, November 2018</w:t>
      </w:r>
      <w:bookmarkEnd w:id="36"/>
    </w:p>
    <w:p w14:paraId="130A3864" w14:textId="74A4D560" w:rsidR="006973C9" w:rsidRDefault="00A35167" w:rsidP="00CD651B">
      <w:pPr>
        <w:pStyle w:val="EX"/>
        <w:numPr>
          <w:ilvl w:val="0"/>
          <w:numId w:val="5"/>
        </w:numPr>
      </w:pPr>
      <w:bookmarkStart w:id="37" w:name="_Ref23768853"/>
      <w:r w:rsidRPr="00A35167">
        <w:t>R4-1816622</w:t>
      </w:r>
      <w:r>
        <w:t>, “</w:t>
      </w:r>
      <w:r w:rsidRPr="00A35167">
        <w:t>Beam correspondence and multiband framework AH2 agenda</w:t>
      </w:r>
      <w:r>
        <w:t>,” Qualcomm Incorporated, 3GPP RAN4 #89, November 2018</w:t>
      </w:r>
      <w:bookmarkEnd w:id="37"/>
    </w:p>
    <w:p w14:paraId="2DB4EFE6" w14:textId="022B0D5B" w:rsidR="00E2539D" w:rsidRDefault="00F270AF" w:rsidP="00171EA7">
      <w:pPr>
        <w:pStyle w:val="EX"/>
        <w:numPr>
          <w:ilvl w:val="0"/>
          <w:numId w:val="5"/>
        </w:numPr>
      </w:pPr>
      <w:bookmarkStart w:id="38" w:name="_Ref32325235"/>
      <w:r w:rsidRPr="00F270AF">
        <w:t>R4-2000022</w:t>
      </w:r>
      <w:r>
        <w:t>, “</w:t>
      </w:r>
      <w:r w:rsidRPr="00F270AF">
        <w:t>[draft] LS response on Multiband relaxation for FR2</w:t>
      </w:r>
      <w:r>
        <w:t>,” Apple Inc., 3GPP RAN4 #94-e, February 2020</w:t>
      </w:r>
      <w:bookmarkStart w:id="39" w:name="_GoBack"/>
      <w:bookmarkEnd w:id="0"/>
      <w:bookmarkEnd w:id="38"/>
      <w:bookmarkEnd w:id="39"/>
    </w:p>
    <w:sectPr w:rsidR="00E2539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F43F4" w14:textId="77777777" w:rsidR="00136B2D" w:rsidRDefault="00136B2D">
      <w:r>
        <w:separator/>
      </w:r>
    </w:p>
  </w:endnote>
  <w:endnote w:type="continuationSeparator" w:id="0">
    <w:p w14:paraId="37714CCD" w14:textId="77777777" w:rsidR="00136B2D" w:rsidRDefault="0013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40993" w14:textId="77777777" w:rsidR="00136B2D" w:rsidRDefault="00136B2D">
      <w:r>
        <w:separator/>
      </w:r>
    </w:p>
  </w:footnote>
  <w:footnote w:type="continuationSeparator" w:id="0">
    <w:p w14:paraId="4B5C5A29" w14:textId="77777777" w:rsidR="00136B2D" w:rsidRDefault="00136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33397"/>
    <w:rsid w:val="00040095"/>
    <w:rsid w:val="00042CE7"/>
    <w:rsid w:val="00044D7C"/>
    <w:rsid w:val="00045BD2"/>
    <w:rsid w:val="00051834"/>
    <w:rsid w:val="00054A22"/>
    <w:rsid w:val="00057B9D"/>
    <w:rsid w:val="00062023"/>
    <w:rsid w:val="000655A6"/>
    <w:rsid w:val="00080512"/>
    <w:rsid w:val="000A365D"/>
    <w:rsid w:val="000A68F3"/>
    <w:rsid w:val="000C47C3"/>
    <w:rsid w:val="000D3143"/>
    <w:rsid w:val="000D58AB"/>
    <w:rsid w:val="000F3730"/>
    <w:rsid w:val="00104BC6"/>
    <w:rsid w:val="001133A5"/>
    <w:rsid w:val="00114E2C"/>
    <w:rsid w:val="0011763D"/>
    <w:rsid w:val="00125A30"/>
    <w:rsid w:val="00133525"/>
    <w:rsid w:val="00136B2D"/>
    <w:rsid w:val="00150B37"/>
    <w:rsid w:val="00171EA7"/>
    <w:rsid w:val="00184673"/>
    <w:rsid w:val="0019395F"/>
    <w:rsid w:val="001952DB"/>
    <w:rsid w:val="001A4C42"/>
    <w:rsid w:val="001B1D9C"/>
    <w:rsid w:val="001B1F24"/>
    <w:rsid w:val="001C21C3"/>
    <w:rsid w:val="001C56EA"/>
    <w:rsid w:val="001D02C2"/>
    <w:rsid w:val="001E0A52"/>
    <w:rsid w:val="001F0C1D"/>
    <w:rsid w:val="001F1132"/>
    <w:rsid w:val="001F168B"/>
    <w:rsid w:val="001F7234"/>
    <w:rsid w:val="00200662"/>
    <w:rsid w:val="00202FAE"/>
    <w:rsid w:val="002202CE"/>
    <w:rsid w:val="00230FB1"/>
    <w:rsid w:val="002347A2"/>
    <w:rsid w:val="00244940"/>
    <w:rsid w:val="00247926"/>
    <w:rsid w:val="00261491"/>
    <w:rsid w:val="002675F0"/>
    <w:rsid w:val="0027462C"/>
    <w:rsid w:val="00276EE4"/>
    <w:rsid w:val="0028110F"/>
    <w:rsid w:val="00290BFF"/>
    <w:rsid w:val="002B6339"/>
    <w:rsid w:val="002D525C"/>
    <w:rsid w:val="002E00EE"/>
    <w:rsid w:val="002E1608"/>
    <w:rsid w:val="003172DC"/>
    <w:rsid w:val="00337522"/>
    <w:rsid w:val="0034052F"/>
    <w:rsid w:val="0035296E"/>
    <w:rsid w:val="0035462D"/>
    <w:rsid w:val="00363EC4"/>
    <w:rsid w:val="003765B8"/>
    <w:rsid w:val="003A0483"/>
    <w:rsid w:val="003C3971"/>
    <w:rsid w:val="003D2481"/>
    <w:rsid w:val="003E62EA"/>
    <w:rsid w:val="003E7753"/>
    <w:rsid w:val="00413E64"/>
    <w:rsid w:val="00423334"/>
    <w:rsid w:val="004345EC"/>
    <w:rsid w:val="00462B29"/>
    <w:rsid w:val="004826A9"/>
    <w:rsid w:val="004837EB"/>
    <w:rsid w:val="004C1601"/>
    <w:rsid w:val="004D3578"/>
    <w:rsid w:val="004E213A"/>
    <w:rsid w:val="004E4AA4"/>
    <w:rsid w:val="004F0988"/>
    <w:rsid w:val="004F3340"/>
    <w:rsid w:val="004F3E3D"/>
    <w:rsid w:val="004F65EC"/>
    <w:rsid w:val="00515EDE"/>
    <w:rsid w:val="00532179"/>
    <w:rsid w:val="0053388B"/>
    <w:rsid w:val="00535773"/>
    <w:rsid w:val="00543E6C"/>
    <w:rsid w:val="00564A7A"/>
    <w:rsid w:val="00565087"/>
    <w:rsid w:val="00572E14"/>
    <w:rsid w:val="005973BE"/>
    <w:rsid w:val="005A5986"/>
    <w:rsid w:val="005B0263"/>
    <w:rsid w:val="005D078E"/>
    <w:rsid w:val="005D113A"/>
    <w:rsid w:val="005D2E01"/>
    <w:rsid w:val="005D7526"/>
    <w:rsid w:val="005E69AE"/>
    <w:rsid w:val="00602AEA"/>
    <w:rsid w:val="006047CB"/>
    <w:rsid w:val="00607E3C"/>
    <w:rsid w:val="00614FDF"/>
    <w:rsid w:val="006246A7"/>
    <w:rsid w:val="0062595A"/>
    <w:rsid w:val="0063543D"/>
    <w:rsid w:val="00647114"/>
    <w:rsid w:val="0065154B"/>
    <w:rsid w:val="00667B04"/>
    <w:rsid w:val="006973C9"/>
    <w:rsid w:val="006A323F"/>
    <w:rsid w:val="006B30D0"/>
    <w:rsid w:val="006C3D95"/>
    <w:rsid w:val="006C6CEF"/>
    <w:rsid w:val="006D601F"/>
    <w:rsid w:val="006E5C86"/>
    <w:rsid w:val="00713C44"/>
    <w:rsid w:val="00714EA5"/>
    <w:rsid w:val="00734A5B"/>
    <w:rsid w:val="0074026F"/>
    <w:rsid w:val="007429F6"/>
    <w:rsid w:val="00744E76"/>
    <w:rsid w:val="007504E2"/>
    <w:rsid w:val="00752198"/>
    <w:rsid w:val="00753881"/>
    <w:rsid w:val="00762811"/>
    <w:rsid w:val="00774DA4"/>
    <w:rsid w:val="00781F0F"/>
    <w:rsid w:val="007A2935"/>
    <w:rsid w:val="007B1606"/>
    <w:rsid w:val="007B247B"/>
    <w:rsid w:val="007B600E"/>
    <w:rsid w:val="007B670C"/>
    <w:rsid w:val="007D7531"/>
    <w:rsid w:val="007E358E"/>
    <w:rsid w:val="007F0F4A"/>
    <w:rsid w:val="008028A4"/>
    <w:rsid w:val="00816517"/>
    <w:rsid w:val="00820B25"/>
    <w:rsid w:val="00830747"/>
    <w:rsid w:val="008768CA"/>
    <w:rsid w:val="00892A97"/>
    <w:rsid w:val="008B3566"/>
    <w:rsid w:val="008C384C"/>
    <w:rsid w:val="008E7986"/>
    <w:rsid w:val="008F5D65"/>
    <w:rsid w:val="00900119"/>
    <w:rsid w:val="0090271F"/>
    <w:rsid w:val="00902E23"/>
    <w:rsid w:val="00910CDE"/>
    <w:rsid w:val="009114D7"/>
    <w:rsid w:val="0091348E"/>
    <w:rsid w:val="00917CCB"/>
    <w:rsid w:val="00930E92"/>
    <w:rsid w:val="00942EC2"/>
    <w:rsid w:val="009B1790"/>
    <w:rsid w:val="009B5D22"/>
    <w:rsid w:val="009F37B7"/>
    <w:rsid w:val="009F5E43"/>
    <w:rsid w:val="009F6942"/>
    <w:rsid w:val="00A10F02"/>
    <w:rsid w:val="00A1288A"/>
    <w:rsid w:val="00A164B4"/>
    <w:rsid w:val="00A26956"/>
    <w:rsid w:val="00A35167"/>
    <w:rsid w:val="00A53724"/>
    <w:rsid w:val="00A61086"/>
    <w:rsid w:val="00A73129"/>
    <w:rsid w:val="00A82346"/>
    <w:rsid w:val="00A92BA1"/>
    <w:rsid w:val="00AA25B9"/>
    <w:rsid w:val="00AB702D"/>
    <w:rsid w:val="00AC6BC6"/>
    <w:rsid w:val="00AE3797"/>
    <w:rsid w:val="00B02A63"/>
    <w:rsid w:val="00B070F5"/>
    <w:rsid w:val="00B1491E"/>
    <w:rsid w:val="00B15449"/>
    <w:rsid w:val="00B322A5"/>
    <w:rsid w:val="00B407FA"/>
    <w:rsid w:val="00B45A10"/>
    <w:rsid w:val="00B57BD6"/>
    <w:rsid w:val="00B60EF4"/>
    <w:rsid w:val="00B7575B"/>
    <w:rsid w:val="00B83A1B"/>
    <w:rsid w:val="00B93086"/>
    <w:rsid w:val="00B96E14"/>
    <w:rsid w:val="00BA19ED"/>
    <w:rsid w:val="00BA300B"/>
    <w:rsid w:val="00BA4B8D"/>
    <w:rsid w:val="00BC0F7D"/>
    <w:rsid w:val="00BD703A"/>
    <w:rsid w:val="00BE3255"/>
    <w:rsid w:val="00BF128E"/>
    <w:rsid w:val="00BF3168"/>
    <w:rsid w:val="00C1496A"/>
    <w:rsid w:val="00C24043"/>
    <w:rsid w:val="00C2756E"/>
    <w:rsid w:val="00C33079"/>
    <w:rsid w:val="00C36C3C"/>
    <w:rsid w:val="00C40AE9"/>
    <w:rsid w:val="00C45231"/>
    <w:rsid w:val="00C72833"/>
    <w:rsid w:val="00C80F1D"/>
    <w:rsid w:val="00C93F40"/>
    <w:rsid w:val="00C95C80"/>
    <w:rsid w:val="00CA0623"/>
    <w:rsid w:val="00CA3D0C"/>
    <w:rsid w:val="00CA76D3"/>
    <w:rsid w:val="00CD651B"/>
    <w:rsid w:val="00CF20E3"/>
    <w:rsid w:val="00CF2841"/>
    <w:rsid w:val="00D27EF9"/>
    <w:rsid w:val="00D309CC"/>
    <w:rsid w:val="00D326E6"/>
    <w:rsid w:val="00D3306F"/>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4EB8"/>
    <w:rsid w:val="00DF6189"/>
    <w:rsid w:val="00DF62CD"/>
    <w:rsid w:val="00E16509"/>
    <w:rsid w:val="00E16F56"/>
    <w:rsid w:val="00E2539D"/>
    <w:rsid w:val="00E44582"/>
    <w:rsid w:val="00E52814"/>
    <w:rsid w:val="00E72324"/>
    <w:rsid w:val="00E72ABE"/>
    <w:rsid w:val="00E76592"/>
    <w:rsid w:val="00E77645"/>
    <w:rsid w:val="00E84623"/>
    <w:rsid w:val="00E85B4F"/>
    <w:rsid w:val="00EC4A25"/>
    <w:rsid w:val="00EE5AA7"/>
    <w:rsid w:val="00EE7CDF"/>
    <w:rsid w:val="00EF3FEB"/>
    <w:rsid w:val="00F025A2"/>
    <w:rsid w:val="00F04712"/>
    <w:rsid w:val="00F10FE8"/>
    <w:rsid w:val="00F145F8"/>
    <w:rsid w:val="00F21311"/>
    <w:rsid w:val="00F22EC7"/>
    <w:rsid w:val="00F270AF"/>
    <w:rsid w:val="00F325C8"/>
    <w:rsid w:val="00F62AEB"/>
    <w:rsid w:val="00F653B8"/>
    <w:rsid w:val="00F70647"/>
    <w:rsid w:val="00F8596B"/>
    <w:rsid w:val="00FA1266"/>
    <w:rsid w:val="00FA41D2"/>
    <w:rsid w:val="00FC1192"/>
    <w:rsid w:val="00FD7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9468B-9891-F64C-8802-DF190FB9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4</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20</cp:revision>
  <cp:lastPrinted>2019-02-25T14:05:00Z</cp:lastPrinted>
  <dcterms:created xsi:type="dcterms:W3CDTF">2020-02-11T09:34:00Z</dcterms:created>
  <dcterms:modified xsi:type="dcterms:W3CDTF">2020-02-14T14:41:00Z</dcterms:modified>
  <cp:category/>
</cp:coreProperties>
</file>